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39</w:t>
      </w:r>
    </w:p>
    <w:p>
      <w:pPr>
        <w:pStyle w:val="BodyText"/>
        <w:spacing w:before="2"/>
        <w:rPr>
          <w:b/>
          <w:sz w:val="16"/>
        </w:rPr>
      </w:pPr>
    </w:p>
    <w:p>
      <w:pPr>
        <w:pStyle w:val="BodyText"/>
        <w:spacing w:before="90"/>
        <w:ind w:left="120"/>
      </w:pPr>
      <w:r>
        <w:rPr/>
        <w:t>Introduced by the Human Services and Finance Committees of the:</w:t>
      </w:r>
    </w:p>
    <w:p>
      <w:pPr>
        <w:pStyle w:val="BodyText"/>
      </w:pPr>
    </w:p>
    <w:p>
      <w:pPr>
        <w:pStyle w:val="BodyText"/>
        <w:ind w:left="2321" w:right="3310"/>
        <w:jc w:val="center"/>
      </w:pPr>
      <w:r>
        <w:rPr/>
        <w:t>INGHAM COUNTY BOARD OF COMMISSIONERS</w:t>
      </w:r>
    </w:p>
    <w:p>
      <w:pPr>
        <w:pStyle w:val="BodyText"/>
      </w:pPr>
    </w:p>
    <w:p>
      <w:pPr>
        <w:pStyle w:val="Heading1"/>
        <w:ind w:left="127" w:right="1115" w:hanging="1"/>
      </w:pPr>
      <w:r>
        <w:rPr/>
        <w:t>RESOLUTION TO AUTHORIZE AN AGREEMENT BETWEEN THE NEIGHBORHOOD WELLNESS CENTER AND THE HEALTH PROMOTION AND PREVENTION PROGRAM ELECTRONIC MEDICAL RECORD, LLC</w:t>
      </w:r>
    </w:p>
    <w:p>
      <w:pPr>
        <w:pStyle w:val="BodyText"/>
        <w:rPr>
          <w:b/>
        </w:rPr>
      </w:pPr>
    </w:p>
    <w:p>
      <w:pPr>
        <w:spacing w:before="0"/>
        <w:ind w:left="2321" w:right="3307" w:firstLine="0"/>
        <w:jc w:val="center"/>
        <w:rPr>
          <w:b/>
          <w:sz w:val="24"/>
        </w:rPr>
      </w:pPr>
      <w:r>
        <w:rPr>
          <w:b/>
          <w:sz w:val="24"/>
        </w:rPr>
        <w:t>RESOLUTION #26 – 456</w:t>
      </w:r>
    </w:p>
    <w:p>
      <w:pPr>
        <w:pStyle w:val="BodyText"/>
        <w:rPr>
          <w:b/>
          <w:sz w:val="26"/>
        </w:rPr>
      </w:pPr>
    </w:p>
    <w:p>
      <w:pPr>
        <w:pStyle w:val="BodyText"/>
        <w:rPr>
          <w:b/>
          <w:sz w:val="22"/>
        </w:rPr>
      </w:pPr>
    </w:p>
    <w:p>
      <w:pPr>
        <w:pStyle w:val="BodyText"/>
        <w:ind w:left="119" w:right="1363"/>
      </w:pPr>
      <w:r>
        <w:rPr/>
        <w:t>WHEREAS, Ingham County Health Department’s (ICHD) Neighborhood Wellness Center (NWC) wishes to enter into a Software Subscription Service (SaaS) agreement with the Health Promotion and Prevention Program (HPP) Maternal Infant Health Program Electronic Medical Record, LLC (MIHP EMR), to provide an electronic platform for client-level documentation in an amount not to exceed $6,000, effective October 1, 2026 and will remain in effect until amended or terminated by either agency; and</w:t>
      </w:r>
    </w:p>
    <w:p>
      <w:pPr>
        <w:pStyle w:val="BodyText"/>
      </w:pPr>
    </w:p>
    <w:p>
      <w:pPr>
        <w:pStyle w:val="BodyText"/>
        <w:ind w:left="119" w:right="1316"/>
      </w:pPr>
      <w:r>
        <w:rPr/>
        <w:t>WHEREAS, NWC program is a Community Health Worker (CHW) staffed Social Determinants of Health (SDOH) resource advocacy program of ICHD, providing voluntary services to individuals and families residing in Ingham County; and</w:t>
      </w:r>
    </w:p>
    <w:p>
      <w:pPr>
        <w:pStyle w:val="BodyText"/>
      </w:pPr>
    </w:p>
    <w:p>
      <w:pPr>
        <w:pStyle w:val="BodyText"/>
        <w:ind w:left="119" w:right="1663"/>
      </w:pPr>
      <w:r>
        <w:rPr/>
        <w:t>WHEREAS, NWC supports individuals and families in managing their Medicaid Health Plans, including identifying providers for all household members, assisting with Medicaid-supported transportation to appointments, and completing referrals to other community-based services and organizations; and</w:t>
      </w:r>
    </w:p>
    <w:p>
      <w:pPr>
        <w:pStyle w:val="BodyText"/>
      </w:pPr>
    </w:p>
    <w:p>
      <w:pPr>
        <w:pStyle w:val="BodyText"/>
        <w:spacing w:before="1"/>
        <w:ind w:left="120" w:right="1361"/>
      </w:pPr>
      <w:r>
        <w:rPr/>
        <w:t>WHEREAS, MIHP EMR, LLC is an electronic record system that allows CHWs to document their work, track service delivery, and summarize health and social determinants of health (SDOH) outcomes for the population served; and</w:t>
      </w:r>
    </w:p>
    <w:p>
      <w:pPr>
        <w:pStyle w:val="BodyText"/>
        <w:spacing w:before="11"/>
        <w:rPr>
          <w:sz w:val="23"/>
        </w:rPr>
      </w:pPr>
    </w:p>
    <w:p>
      <w:pPr>
        <w:pStyle w:val="BodyText"/>
        <w:ind w:left="120" w:right="1250"/>
      </w:pPr>
      <w:r>
        <w:rPr/>
        <w:t>WHEREAS, the web-based platform includes secure messaging, computer file and document management, electronic medical record tracking, user management, and additional functionality that supports an automated, streamlined documentation process; and</w:t>
      </w:r>
    </w:p>
    <w:p>
      <w:pPr>
        <w:pStyle w:val="BodyText"/>
      </w:pPr>
    </w:p>
    <w:p>
      <w:pPr>
        <w:pStyle w:val="BodyText"/>
        <w:ind w:left="120" w:right="1121"/>
      </w:pPr>
      <w:r>
        <w:rPr/>
        <w:t>WHEREAS, under updated Michigan Department of Health and Human Services (MDHHS) requirements, ICHD is now responsible for monitoring SDOH outcomes and reporting this information directly to MDHHS, and the MIHP EMR system will support accurate, standardized, and timely compliance with these reporting expectations; and</w:t>
      </w:r>
    </w:p>
    <w:p>
      <w:pPr>
        <w:pStyle w:val="BodyText"/>
      </w:pPr>
    </w:p>
    <w:p>
      <w:pPr>
        <w:pStyle w:val="BodyText"/>
        <w:ind w:left="120" w:right="1297"/>
      </w:pPr>
      <w:r>
        <w:rPr/>
        <w:t>WHEREAS, the MIHP EMR platform will support this transition by providing a comprehensive electronic record system designed for secure messaging, document management, electronic medical record tracking, user management, and automated workflows and will improve documentation accuracy, streamline service coordination, and ensure NWC meets all state reporting expectations while strengthening support for Medicaid members and the broader community; and</w:t>
      </w:r>
    </w:p>
    <w:p>
      <w:pPr>
        <w:spacing w:after="0"/>
        <w:sectPr>
          <w:type w:val="continuous"/>
          <w:pgSz w:w="12240" w:h="15840"/>
          <w:pgMar w:top="1360" w:bottom="280" w:left="600" w:right="620"/>
        </w:sectPr>
      </w:pPr>
    </w:p>
    <w:p>
      <w:pPr>
        <w:pStyle w:val="BodyText"/>
        <w:spacing w:line="504" w:lineRule="auto" w:before="79"/>
        <w:ind w:left="120" w:right="2234"/>
      </w:pPr>
      <w:r>
        <w:rPr/>
        <w:t>WHEREAS, the monthly subscription fee for the MIHP EMR, LLC software is $500; and WHEREAS, funds for this product have been included in the FY 2026-27 budget; and</w:t>
      </w:r>
    </w:p>
    <w:p>
      <w:pPr>
        <w:pStyle w:val="BodyText"/>
        <w:spacing w:line="261" w:lineRule="auto"/>
        <w:ind w:left="120" w:right="289"/>
      </w:pPr>
      <w:r>
        <w:rPr/>
        <w:t>WHEREAS, the Medical Health Officer recommends that the Ingham County Board of Commissioners authorize an agreement with MIHP EMR, LLC in an amount not to exceed $6,000 annually, effective October 1, 2026 and will remain in effect until amended or terminated by either agency.</w:t>
      </w:r>
    </w:p>
    <w:p>
      <w:pPr>
        <w:pStyle w:val="BodyText"/>
        <w:spacing w:before="2"/>
      </w:pPr>
    </w:p>
    <w:p>
      <w:pPr>
        <w:pStyle w:val="BodyText"/>
        <w:spacing w:line="261" w:lineRule="auto"/>
        <w:ind w:left="120" w:right="281"/>
      </w:pPr>
      <w:r>
        <w:rPr/>
        <w:t>THEREFORE BE IT RESOLVED, that the Ingham County Board of Commissioners authorizes an agreement with MIHP EMR, LLC to provide an electronic platform for client-level documentation effective October 1, 2026, which will remain in effect until amended or terminated by either agency in an amount not to exceed</w:t>
      </w:r>
    </w:p>
    <w:p>
      <w:pPr>
        <w:pStyle w:val="BodyText"/>
        <w:spacing w:line="274" w:lineRule="exact"/>
        <w:ind w:left="120"/>
      </w:pPr>
      <w:r>
        <w:rPr/>
        <w:t>$6,000 annually.</w:t>
      </w:r>
    </w:p>
    <w:p>
      <w:pPr>
        <w:pStyle w:val="BodyText"/>
        <w:spacing w:before="6"/>
        <w:rPr>
          <w:sz w:val="26"/>
        </w:rPr>
      </w:pPr>
    </w:p>
    <w:p>
      <w:pPr>
        <w:pStyle w:val="BodyText"/>
        <w:spacing w:line="261" w:lineRule="auto"/>
        <w:ind w:left="120" w:right="428"/>
      </w:pPr>
      <w:r>
        <w:rPr/>
        <w:t>BE IT FURTHER RESOLVED, that the Chairperson of the Board of Commissioners is hereby authorized to sign any necessary contract documents on behalf of the County after approval as to form by the County Attorney.</w:t>
      </w:r>
    </w:p>
    <w:p>
      <w:pPr>
        <w:pStyle w:val="BodyText"/>
        <w:spacing w:before="10"/>
        <w:rPr>
          <w:sz w:val="21"/>
        </w:rPr>
      </w:pPr>
    </w:p>
    <w:p>
      <w:pPr>
        <w:spacing w:before="1"/>
        <w:ind w:left="120" w:right="0" w:firstLine="0"/>
        <w:jc w:val="left"/>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8"/>
        <w:rPr>
          <w:b/>
          <w:sz w:val="27"/>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2026-09-23T14:50:30Z</dcterms:created>
  <dcterms:modified xsi:type="dcterms:W3CDTF">2026-09-23T14:50:30Z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